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header4.xml.rels" ContentType="application/vnd.openxmlformats-package.relationships+xml"/>
  <Override PartName="/word/_rels/document.xml.rels" ContentType="application/vnd.openxmlformats-package.relationships+xml"/>
  <Override PartName="/word/_rels/header7.xml.rels" ContentType="application/vnd.openxmlformats-package.relationships+xml"/>
  <Override PartName="/word/_rels/header6.xml.rels" ContentType="application/vnd.openxmlformats-package.relationships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media/image4.png" ContentType="image/png"/>
  <Override PartName="/word/media/image3.png" ContentType="image/png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"/>
        <w:tblW w:w="10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669"/>
        <w:gridCol w:w="4680"/>
      </w:tblGrid>
      <w:tr>
        <w:trPr/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2"/>
              <w:widowControl w:val="false"/>
              <w:spacing w:before="0" w:after="0"/>
              <w:rPr>
                <w:sz w:val="30"/>
              </w:rPr>
            </w:pPr>
            <w:r>
              <w:rPr>
                <w:kern w:val="0"/>
                <w:lang w:eastAsia="ru-RU" w:bidi="ar-SA"/>
              </w:rPr>
              <w:drawing>
                <wp:inline distT="0" distB="0" distL="0" distR="0">
                  <wp:extent cx="3343275" cy="12890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ind w:left="290" w:hanging="0"/>
              <w:jc w:val="center"/>
              <w:rPr>
                <w:sz w:val="30"/>
              </w:rPr>
            </w:pPr>
            <w:r>
              <w:rPr>
                <w:rFonts w:eastAsia="Times New Roman" w:cs="Times New Roman"/>
                <w:kern w:val="0"/>
                <w:sz w:val="3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sdt>
      <w:sdtPr>
        <w:docPartObj>
          <w:docPartGallery w:val="Cover Pages"/>
          <w:docPartUnique w:val="true"/>
        </w:docPartObj>
        <w:id w:val="98529114"/>
      </w:sdtPr>
      <w:sdtContent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cs="Times New Roman"/>
            </w:rPr>
          </w:pPr>
          <w:r>
            <w:rPr>
              <w:rFonts w:cs="Times New Roman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72"/>
              <w:szCs w:val="72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72"/>
              <w:szCs w:val="72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 xml:space="preserve">КОНКУРСНОЕ ЗАДАНИЕ 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НА ОТБОРОЧНЫЙ ЭТАП КОМПЕТЕНЦИИ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eastAsia="Arial Unicode MS" w:cs="Times New Roman"/>
              <w:sz w:val="40"/>
              <w:szCs w:val="40"/>
            </w:rPr>
            <w:t>«ОБОГАЩЕНИЕ ПОЛЕЗНЫХ ИСКОПАЕМЫХ»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 xml:space="preserve">Региональный этап Чемпионата по профессиональному мастерству «Профессионалы» 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>Кемеровская область - Кузбасс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20"/>
              <w:szCs w:val="20"/>
            </w:rPr>
          </w:pPr>
          <w:r>
            <w:rPr>
              <w:rFonts w:eastAsia="Arial Unicode MS" w:cs="Times New Roman"/>
              <w:sz w:val="20"/>
              <w:szCs w:val="20"/>
            </w:rPr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72"/>
              <w:szCs w:val="72"/>
            </w:rPr>
          </w:r>
        </w:p>
      </w:sdtContent>
    </w:sdt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2025 г.</w:t>
      </w:r>
    </w:p>
    <w:p>
      <w:pPr>
        <w:pStyle w:val="-11"/>
        <w:numPr>
          <w:ilvl w:val="0"/>
          <w:numId w:val="5"/>
        </w:numPr>
        <w:spacing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КОНКУРСНОЕ ЗАДАНИЕ ДЛЯ ОТБОРОЧНОГО ЭТАПА</w:t>
      </w:r>
    </w:p>
    <w:p>
      <w:pPr>
        <w:pStyle w:val="-11"/>
        <w:spacing w:before="0" w:after="0"/>
        <w:ind w:left="720" w:hanging="0"/>
        <w:rPr>
          <w:rFonts w:ascii="Times New Roman" w:hAnsi="Times New Roman"/>
          <w:b w:val="false"/>
          <w:caps w:val="false"/>
          <w:smallCap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color w:val="auto"/>
          <w:sz w:val="28"/>
          <w:szCs w:val="28"/>
        </w:rPr>
        <w:t xml:space="preserve">Общая продолжительность Конкурсного задания: 2 часа </w:t>
      </w:r>
      <w:r>
        <w:rPr>
          <w:rFonts w:ascii="Times New Roman" w:hAnsi="Times New Roman"/>
          <w:b w:val="false"/>
          <w:caps w:val="false"/>
          <w:smallCaps w:val="false"/>
          <w:color w:val="auto"/>
          <w:sz w:val="28"/>
          <w:szCs w:val="28"/>
        </w:rPr>
        <w:t>30 минут</w:t>
      </w:r>
      <w:r>
        <w:rPr>
          <w:rFonts w:ascii="Times New Roman" w:hAnsi="Times New Roman"/>
          <w:b w:val="false"/>
          <w:caps w:val="false"/>
          <w:smallCaps w:val="false"/>
          <w:color w:val="auto"/>
          <w:sz w:val="28"/>
          <w:szCs w:val="28"/>
        </w:rPr>
        <w:t>.</w:t>
      </w:r>
    </w:p>
    <w:p>
      <w:pPr>
        <w:pStyle w:val="-11"/>
        <w:spacing w:before="0" w:after="0"/>
        <w:ind w:left="720" w:hanging="0"/>
        <w:rPr>
          <w:rFonts w:ascii="Times New Roman" w:hAnsi="Times New Roman"/>
          <w:b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caps w:val="false"/>
          <w:smallCaps w:val="false"/>
          <w:color w:val="auto"/>
          <w:sz w:val="28"/>
          <w:szCs w:val="28"/>
        </w:rPr>
        <w:t>Количество отборочных дней: 1 день.</w:t>
      </w:r>
    </w:p>
    <w:p>
      <w:pPr>
        <w:pStyle w:val="-21"/>
        <w:jc w:val="center"/>
        <w:rPr>
          <w:rFonts w:ascii="Times New Roman" w:hAnsi="Times New Roman"/>
        </w:rPr>
      </w:pPr>
      <w:bookmarkStart w:id="0" w:name="_Toc181956075"/>
      <w:r>
        <w:rPr>
          <w:rFonts w:ascii="Times New Roman" w:hAnsi="Times New Roman"/>
        </w:rPr>
        <w:t>1.2. Структура модулей конкурсного задания</w:t>
      </w:r>
      <w:bookmarkEnd w:id="0"/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color w:val="000000"/>
          <w:spacing w:val="2"/>
          <w:sz w:val="28"/>
          <w:szCs w:val="28"/>
          <w:shd w:fill="FFFFFF" w:val="clear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eastAsia="Calibri" w:cs="Times New Roman"/>
          <w:b/>
          <w:color w:val="000000"/>
          <w:sz w:val="28"/>
          <w:szCs w:val="28"/>
        </w:rPr>
        <w:t>Ситовый анализ. Построение кривых ситового анализа.</w:t>
      </w:r>
      <w:r>
        <w:rPr>
          <w:rFonts w:eastAsia="Calibri" w:cs="Times New Roman"/>
          <w:b/>
          <w:color w:val="000000"/>
          <w:spacing w:val="2"/>
          <w:sz w:val="28"/>
          <w:szCs w:val="28"/>
          <w:shd w:fill="FFFFFF" w:val="clear"/>
        </w:rPr>
        <w:t xml:space="preserve"> Определение выхода и зольности заданного класса.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i/>
          <w:sz w:val="28"/>
          <w:szCs w:val="28"/>
        </w:rPr>
        <w:t>Время на выполнение модуля 1 час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Lohit Hindi"/>
          <w:kern w:val="2"/>
          <w:sz w:val="28"/>
          <w:szCs w:val="28"/>
          <w:lang w:eastAsia="zh-CN" w:bidi="hi-IN"/>
        </w:rPr>
      </w:pPr>
      <w:r>
        <w:rPr>
          <w:rFonts w:eastAsia="Times New Roman" w:cs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Lohit Hindi"/>
          <w:kern w:val="2"/>
          <w:sz w:val="28"/>
          <w:szCs w:val="28"/>
          <w:lang w:eastAsia="zh-CN" w:bidi="hi-IN"/>
        </w:rPr>
        <w:t xml:space="preserve">Участнику необходимо по результатам ситового анализа угля (таблица 1) </w:t>
      </w:r>
      <w:r>
        <w:rPr>
          <w:rFonts w:eastAsia="Times New Roman" w:cs="Lohit Hindi"/>
          <w:kern w:val="2"/>
          <w:sz w:val="28"/>
          <w:szCs w:val="28"/>
          <w:lang w:eastAsia="zh-CN" w:bidi="hi-IN"/>
        </w:rPr>
        <w:t>с применением редактора электронных таблиц</w:t>
      </w:r>
      <w:r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Lohit Hindi"/>
          <w:kern w:val="2"/>
          <w:sz w:val="28"/>
          <w:szCs w:val="28"/>
          <w:lang w:eastAsia="zh-CN" w:bidi="hi-IN"/>
        </w:rPr>
        <w:t xml:space="preserve"> определить общую зольность угля, построить кривые ситового анализа: α - кривая ситового анализа и </w:t>
      </w:r>
      <w:r>
        <w:rPr>
          <w:rFonts w:eastAsia="Times New Roman" w:cs="Lohit Hindi" w:ascii="Cambria Math" w:hAnsi="Cambria Math"/>
          <w:kern w:val="2"/>
          <w:sz w:val="28"/>
          <w:szCs w:val="28"/>
          <w:lang w:eastAsia="zh-CN" w:bidi="hi-IN"/>
        </w:rPr>
        <w:t>𝛽</w:t>
      </w:r>
      <w:r>
        <w:rPr>
          <w:rFonts w:eastAsia="Times New Roman" w:cs="Lohit Hindi"/>
          <w:kern w:val="2"/>
          <w:sz w:val="28"/>
          <w:szCs w:val="28"/>
          <w:lang w:eastAsia="zh-CN" w:bidi="hi-IN"/>
        </w:rPr>
        <w:t xml:space="preserve"> - кривая средней зольности (на миллиметровой бумаге формат А3). Определить выход и зольность класса 0,5—13 мм.</w:t>
      </w:r>
      <w:bookmarkStart w:id="1" w:name="_GoBack"/>
      <w:bookmarkEnd w:id="1"/>
    </w:p>
    <w:p>
      <w:pPr>
        <w:pStyle w:val="Normal"/>
        <w:widowControl w:val="false"/>
        <w:suppressAutoHyphens w:val="true"/>
        <w:spacing w:lineRule="auto" w:line="240" w:before="0" w:after="0"/>
        <w:ind w:left="567" w:hanging="0"/>
        <w:rPr>
          <w:rFonts w:ascii="Liberation Serif" w:hAnsi="Liberation Serif" w:eastAsia="Times New Roman" w:cs="Lohit Hindi"/>
          <w:kern w:val="2"/>
          <w:sz w:val="24"/>
          <w:szCs w:val="24"/>
          <w:lang w:eastAsia="zh-CN" w:bidi="hi-IN"/>
        </w:rPr>
      </w:pPr>
      <w:r>
        <w:rPr>
          <w:rFonts w:eastAsia="Times New Roman" w:cs="Lohit Hindi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r>
        <w:rPr>
          <w:rFonts w:eastAsia="Times New Roman" w:cs="Lohit Hindi"/>
          <w:kern w:val="2"/>
          <w:sz w:val="28"/>
          <w:szCs w:val="28"/>
          <w:lang w:eastAsia="zh-CN" w:bidi="hi-IN"/>
        </w:rPr>
        <w:t>Таблица 1</w:t>
      </w:r>
    </w:p>
    <w:tbl>
      <w:tblPr>
        <w:tblW w:w="10063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71"/>
        <w:gridCol w:w="2075"/>
        <w:gridCol w:w="2072"/>
        <w:gridCol w:w="2071"/>
        <w:gridCol w:w="2074"/>
      </w:tblGrid>
      <w:tr>
        <w:trPr>
          <w:trHeight w:val="507" w:hRule="atLeast"/>
        </w:trPr>
        <w:tc>
          <w:tcPr>
            <w:tcW w:w="1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Класс крупности, мм</w:t>
            </w:r>
          </w:p>
        </w:tc>
        <w:tc>
          <w:tcPr>
            <w:tcW w:w="2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γ, %</w:t>
            </w:r>
          </w:p>
        </w:tc>
        <w:tc>
          <w:tcPr>
            <w:tcW w:w="2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А</w:t>
            </w:r>
            <w:r>
              <w:rPr>
                <w:rFonts w:eastAsia="Calibri" w:cs="Times New Roman"/>
                <w:kern w:val="2"/>
                <w:sz w:val="28"/>
                <w:szCs w:val="28"/>
                <w:vertAlign w:val="superscript"/>
                <w:lang w:val="en-US" w:bidi="hi-IN"/>
              </w:rPr>
              <w:t>d</w:t>
            </w: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,</w:t>
            </w:r>
            <w:r>
              <w:rPr>
                <w:rFonts w:eastAsia="Calibri" w:cs="Times New Roman"/>
                <w:kern w:val="2"/>
                <w:sz w:val="28"/>
                <w:szCs w:val="28"/>
                <w:lang w:val="en-US" w:bidi="hi-IN"/>
              </w:rPr>
              <w:t xml:space="preserve"> %</w:t>
            </w:r>
          </w:p>
        </w:tc>
        <w:tc>
          <w:tcPr>
            <w:tcW w:w="4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 xml:space="preserve">Суммарно, % </w:t>
            </w:r>
          </w:p>
        </w:tc>
      </w:tr>
      <w:tr>
        <w:trPr>
          <w:trHeight w:val="792" w:hRule="atLeast"/>
        </w:trPr>
        <w:tc>
          <w:tcPr>
            <w:tcW w:w="177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А</w:t>
            </w:r>
            <w:r>
              <w:rPr>
                <w:rFonts w:eastAsia="Calibri" w:cs="Times New Roman"/>
                <w:kern w:val="2"/>
                <w:sz w:val="28"/>
                <w:szCs w:val="28"/>
                <w:vertAlign w:val="superscript"/>
                <w:lang w:val="en-US" w:bidi="hi-IN"/>
              </w:rPr>
              <w:t>d</w:t>
            </w:r>
          </w:p>
        </w:tc>
      </w:tr>
      <w:tr>
        <w:trPr>
          <w:trHeight w:val="340" w:hRule="exac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5</w:t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+100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7,70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70,00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100+50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6,20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58,30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50+25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5,00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45,30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25+13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6,90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40,70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13 +6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21,10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30,20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6+3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22,50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25,80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TimesNewRomanPSMT" w:cs="Times New Roman"/>
                <w:kern w:val="2"/>
                <w:sz w:val="28"/>
                <w:szCs w:val="28"/>
                <w:lang w:bidi="hi-IN"/>
              </w:rPr>
              <w:t>3+0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30,60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zh-CN" w:bidi="hi-IN"/>
              </w:rPr>
              <w:t>20,00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Liberation Serif" w:hAnsi="Liberation Serif" w:eastAsia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Итого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Liberation Serif" w:hAnsi="Liberation Serif" w:eastAsia="Times New Roman" w:cs="Lohit Hind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  <w:t>100,00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lang w:bidi="hi-IN"/>
              </w:rPr>
            </w:r>
          </w:p>
        </w:tc>
      </w:tr>
    </w:tbl>
    <w:p>
      <w:pPr>
        <w:pStyle w:val="Normal"/>
        <w:numPr>
          <w:ilvl w:val="0"/>
          <w:numId w:val="7"/>
        </w:numPr>
        <w:spacing w:lineRule="auto" w:line="360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Заполняем графу 4 таблицы 1 последовательным суммированием сверху вниз данных графы 2.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Определяем среднединамическую зольность (графа 5) по формулам: </w:t>
      </w:r>
    </w:p>
    <w:p>
      <w:pPr>
        <w:pStyle w:val="26"/>
        <w:numPr>
          <w:ilvl w:val="0"/>
          <w:numId w:val="8"/>
        </w:numPr>
        <w:tabs>
          <w:tab w:val="clear" w:pos="709"/>
          <w:tab w:val="left" w:pos="1276" w:leader="none"/>
        </w:tabs>
        <w:spacing w:lineRule="auto" w:line="360" w:before="0" w:after="0"/>
        <w:ind w:left="0" w:firstLine="993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 + 100 мм: выход и зольность класс +100 мм переносим в графу 4 и графу 5 (соответственно) без изменения;</w:t>
      </w:r>
    </w:p>
    <w:p>
      <w:pPr>
        <w:pStyle w:val="Normal"/>
        <w:spacing w:lineRule="auto" w:line="360" w:before="0" w:after="0"/>
        <w:ind w:left="709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зольность класса -100+50 мм:</w:t>
      </w:r>
    </w:p>
    <w:p>
      <w:pPr>
        <w:pStyle w:val="Normal"/>
        <w:spacing w:lineRule="auto" w:line="360" w:before="0" w:after="0"/>
        <w:ind w:left="709" w:hanging="0"/>
        <w:jc w:val="center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A</m:t>
              </m:r>
            </m:e>
            <m:sub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100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50</m:t>
              </m:r>
            </m:sub>
            <m:sup>
              <m:r>
                <w:rPr>
                  <w:rFonts w:ascii="Cambria Math" w:hAnsi="Cambria Math"/>
                </w:rPr>
                <m:t xml:space="preserve">d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γ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100</m:t>
                  </m:r>
                </m:sub>
              </m:sSub>
              <m:r>
                <w:rPr>
                  <w:rFonts w:ascii="Cambria Math" w:hAnsi="Cambria Math"/>
                </w:rPr>
                <m:t xml:space="preserve">∙</m:t>
              </m:r>
              <m:sSub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100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d</m:t>
                  </m:r>
                </m:sup>
              </m:sSubSup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γ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100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50</m:t>
                  </m:r>
                </m:sub>
              </m:sSub>
              <m:r>
                <w:rPr>
                  <w:rFonts w:ascii="Cambria Math" w:hAnsi="Cambria Math"/>
                </w:rPr>
                <m:t xml:space="preserve">∙</m:t>
              </m:r>
              <m:sSub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100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50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d</m:t>
                  </m:r>
                </m:sup>
              </m:sSubSup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γ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100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γ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100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50</m:t>
                  </m:r>
                </m:sub>
              </m:sSub>
            </m:den>
          </m:f>
        </m:oMath>
      </m:oMathPara>
    </w:p>
    <w:p>
      <w:pPr>
        <w:pStyle w:val="Normal"/>
        <w:spacing w:lineRule="auto" w:line="360" w:before="0" w:after="0"/>
        <w:ind w:left="709" w:hanging="142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- зольность класса -50+25 мм:  </w:t>
      </w:r>
      <w:r>
        <w:rPr/>
      </w:r>
      <m:oMath xmlns:m="http://schemas.openxmlformats.org/officeDocument/2006/math"/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50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25</m:t>
            </m:r>
          </m:sub>
          <m:sup>
            <m:r>
              <w:rPr>
                <w:rFonts w:ascii="Cambria Math" w:hAnsi="Cambria Math"/>
              </w:rPr>
              <m:t xml:space="preserve">d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γ</m:t>
                </m:r>
              </m:e>
              <m: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100</m:t>
                </m:r>
              </m:sub>
            </m:sSub>
            <m:r>
              <w:rPr>
                <w:rFonts w:ascii="Cambria Math" w:hAnsi="Cambria Math"/>
              </w:rPr>
              <m:t xml:space="preserve">∙</m:t>
            </m:r>
            <m:sSub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100</m:t>
                </m:r>
              </m:sub>
              <m:sup>
                <m:r>
                  <w:rPr>
                    <w:rFonts w:ascii="Cambria Math" w:hAnsi="Cambria Math"/>
                  </w:rPr>
                  <m:t xml:space="preserve">d</m:t>
                </m:r>
              </m:sup>
            </m:sSubSup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γ</m:t>
                </m:r>
              </m:e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50</m:t>
                </m:r>
              </m:sub>
            </m:sSub>
            <m:r>
              <w:rPr>
                <w:rFonts w:ascii="Cambria Math" w:hAnsi="Cambria Math"/>
              </w:rPr>
              <m:t xml:space="preserve">∙</m:t>
            </m:r>
            <m:sSub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50</m:t>
                </m:r>
              </m:sub>
              <m:sup>
                <m:r>
                  <w:rPr>
                    <w:rFonts w:ascii="Cambria Math" w:hAnsi="Cambria Math"/>
                  </w:rPr>
                  <m:t xml:space="preserve">d</m:t>
                </m:r>
              </m:sup>
            </m:sSubSup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γ</m:t>
                </m:r>
              </m:e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25</m:t>
                </m:r>
              </m:sub>
            </m:sSub>
            <m:r>
              <w:rPr>
                <w:rFonts w:ascii="Cambria Math" w:hAnsi="Cambria Math"/>
              </w:rPr>
              <m:t xml:space="preserve">∙</m:t>
            </m:r>
            <m:sSub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25</m:t>
                </m:r>
              </m:sub>
              <m:sup>
                <m:r>
                  <w:rPr>
                    <w:rFonts w:ascii="Cambria Math" w:hAnsi="Cambria Math"/>
                  </w:rPr>
                  <m:t xml:space="preserve">d</m:t>
                </m:r>
              </m:sup>
            </m:sSubSup>
          </m:num>
          <m:den>
            <m:sSub>
              <m:e>
                <m:r>
                  <w:rPr>
                    <w:rFonts w:ascii="Cambria Math" w:hAnsi="Cambria Math"/>
                  </w:rPr>
                  <m:t xml:space="preserve">γ</m:t>
                </m:r>
              </m:e>
              <m: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100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γ</m:t>
                </m:r>
              </m:e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50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γ</m:t>
                </m:r>
              </m:e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50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25</m:t>
                </m:r>
              </m:sub>
            </m:sSub>
          </m:den>
        </m:f>
      </m:oMath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eastAsia="Calibri" w:cs="Times New Roman"/>
          <w:spacing w:val="-6"/>
          <w:sz w:val="28"/>
          <w:szCs w:val="28"/>
        </w:rPr>
        <w:t>аналогично производим расчет классов -25+13 мм, -13+6 мм, -6+3 мм, -3+0 мм.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Производим построение кривой ситового анализа α по данным таблицы 1 (графы 1 и 4):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 оси ординат откладываем в масштабе суммарные выходы классов и проводим линии, параллельные оси абсциссе;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на вспомогательных линиях откладываем в масштабе размер отверстий сит;</w:t>
      </w:r>
    </w:p>
    <w:p>
      <w:pPr>
        <w:pStyle w:val="Normal"/>
        <w:spacing w:lineRule="auto" w:line="360" w:before="0" w:after="0"/>
        <w:ind w:left="709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полученные точки соединяем плавной кривой.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Производим построение кривой средней зольности 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на вспомогательных линиях суммарных выходов откладываем в масштабе среднединамическую зольность (графа 5);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полученные точки соединяем плавной кривой.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Определяем выход и зольность класса 0,5 – 13 мм.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i/>
          <w:sz w:val="28"/>
          <w:szCs w:val="28"/>
        </w:rPr>
        <w:t xml:space="preserve">Время на выполнение модуля 1 час </w:t>
      </w:r>
      <w:r>
        <w:rPr>
          <w:rFonts w:eastAsia="Times New Roman" w:cs="Times New Roman"/>
          <w:bCs/>
          <w:i/>
          <w:sz w:val="28"/>
          <w:szCs w:val="28"/>
        </w:rPr>
        <w:t>30 минут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В программе Компас 3Д (или аналогичной) вычертить схему цепи аппаратов одного из отделений (углеприем, отсадка, ФПО и т.д.) обогатительной фабрики. Составить спецификацию необходимого оборудования.</w:t>
      </w:r>
    </w:p>
    <w:p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81956076"/>
      <w:bookmarkStart w:id="3" w:name="_Toc78885643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2"/>
      <w:bookmarkEnd w:id="3"/>
    </w:p>
    <w:p>
      <w:pPr>
        <w:pStyle w:val="-21"/>
        <w:ind w:firstLine="709"/>
        <w:rPr>
          <w:rFonts w:ascii="Times New Roman" w:hAnsi="Times New Roman"/>
        </w:rPr>
      </w:pPr>
      <w:bookmarkStart w:id="4" w:name="_Toc181956077"/>
      <w:bookmarkStart w:id="5" w:name="_Toc78885659"/>
      <w:r>
        <w:rPr>
          <w:rFonts w:ascii="Times New Roman" w:hAnsi="Times New Roman"/>
          <w:color w:val="000000"/>
        </w:rPr>
        <w:t xml:space="preserve">2.1. </w:t>
      </w:r>
      <w:bookmarkEnd w:id="5"/>
      <w:r>
        <w:rPr>
          <w:rFonts w:ascii="Times New Roman" w:hAnsi="Times New Roman"/>
        </w:rPr>
        <w:t>Личный инструмент конкурсанта</w:t>
      </w:r>
      <w:bookmarkEnd w:id="4"/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Нулевой – ничего нельзя с собой привозить.</w:t>
      </w:r>
    </w:p>
    <w:p>
      <w:pPr>
        <w:pStyle w:val="-21"/>
        <w:ind w:firstLine="709"/>
        <w:jc w:val="both"/>
        <w:rPr>
          <w:rFonts w:ascii="Times New Roman" w:hAnsi="Times New Roman"/>
        </w:rPr>
      </w:pPr>
      <w:bookmarkStart w:id="6" w:name="_Toc181956078"/>
      <w:bookmarkStart w:id="7" w:name="_Toc78885660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6"/>
      <w:bookmarkEnd w:id="7"/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8" w:name="_Toc181956079"/>
      <w:r>
        <w:rPr>
          <w:rFonts w:eastAsia="Times New Roman" w:cs="Times New Roman"/>
          <w:sz w:val="28"/>
          <w:szCs w:val="28"/>
        </w:rPr>
        <w:t>На конкурсной площадке запрещено использование мобильных телефонов, фотоаппаратов, видеокамер и иных устройств.</w:t>
      </w:r>
      <w:bookmarkEnd w:id="8"/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3.ПРИЛОЖЕНИЯ К ЗАДАНИЮ</w:t>
      </w:r>
    </w:p>
    <w:p>
      <w:pPr>
        <w:sectPr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418" w:right="849" w:gutter="0" w:header="624" w:top="1134" w:footer="17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Условные обозначения</w:t>
      </w:r>
    </w:p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418" w:right="849" w:gutter="0" w:header="624" w:top="1134" w:footer="170" w:bottom="1134"/>
          <w:pgNumType w:start="1" w:fmt="decimal"/>
          <w:formProt w:val="false"/>
          <w:textDirection w:val="lrTb"/>
          <w:docGrid w:type="default" w:linePitch="360" w:charSpace="0"/>
        </w:sect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/>
        <w:drawing>
          <wp:inline distT="0" distB="0" distL="0" distR="0">
            <wp:extent cx="6139180" cy="7656195"/>
            <wp:effectExtent l="0" t="0" r="0" b="0"/>
            <wp:docPr id="2" name="Рисунок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134" w:right="709" w:gutter="0" w:header="284" w:top="536" w:footer="0" w:bottom="1134"/>
          <w:pgNumType w:fmt="decimal"/>
          <w:formProt w:val="false"/>
          <w:textDirection w:val="lrTb"/>
          <w:docGrid w:type="default" w:linePitch="299" w:charSpace="0"/>
        </w:sectPr>
        <w:pStyle w:val="Normal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372225" cy="8174990"/>
            <wp:effectExtent l="0" t="0" r="0" b="0"/>
            <wp:docPr id="3" name="Рисунок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/>
        <w:drawing>
          <wp:inline distT="0" distB="0" distL="0" distR="0">
            <wp:extent cx="5963920" cy="8511540"/>
            <wp:effectExtent l="0" t="0" r="0" b="0"/>
            <wp:docPr id="5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8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7"/>
      <w:headerReference w:type="first" r:id="rId18"/>
      <w:footerReference w:type="default" r:id="rId19"/>
      <w:footerReference w:type="first" r:id="rId20"/>
      <w:type w:val="nextPage"/>
      <w:pgSz w:w="11906" w:h="16838"/>
      <w:pgMar w:left="1418" w:right="849" w:gutter="0" w:header="624" w:top="1134" w:footer="17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 Math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85384354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right"/>
      <w:rPr/>
    </w:pPr>
    <w:r>
      <w:rPr/>
    </w:r>
  </w:p>
  <w:p>
    <w:pPr>
      <w:pStyle w:val="Style2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right"/>
      <w:rPr/>
    </w:pPr>
    <w:r>
      <w:rPr/>
    </w:r>
  </w:p>
  <w:p>
    <w:pPr>
      <w:pStyle w:val="Style2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68" w:type="dxa"/>
      <w:jc w:val="left"/>
      <w:tblInd w:w="115" w:type="dxa"/>
      <w:tblLayout w:type="fixed"/>
      <w:tblCellMar>
        <w:top w:w="0" w:type="dxa"/>
        <w:left w:w="115" w:type="dxa"/>
        <w:bottom w:w="0" w:type="dxa"/>
        <w:right w:w="115" w:type="dxa"/>
      </w:tblCellMar>
      <w:tblLook w:noVBand="0" w:val="0000" w:noHBand="0" w:lastColumn="0" w:firstColumn="0" w:lastRow="0" w:firstRow="0"/>
    </w:tblPr>
    <w:tblGrid>
      <w:gridCol w:w="7264"/>
      <w:gridCol w:w="2803"/>
    </w:tblGrid>
    <w:tr>
      <w:trPr>
        <w:trHeight w:val="115" w:hRule="exact"/>
      </w:trPr>
      <w:tc>
        <w:tcPr>
          <w:tcW w:w="7264" w:type="dxa"/>
          <w:tcBorders/>
          <w:shd w:color="auto" w:fill="81D41A" w:val="clear"/>
        </w:tcPr>
        <w:p>
          <w:pPr>
            <w:pStyle w:val="Style27"/>
            <w:widowControl w:val="false"/>
            <w:tabs>
              <w:tab w:val="clear" w:pos="4677"/>
              <w:tab w:val="clear" w:pos="9355"/>
            </w:tabs>
            <w:rPr/>
          </w:pPr>
          <w:r>
            <w:rPr>
              <w:caps/>
              <w:sz w:val="18"/>
            </w:rPr>
            <w:tab/>
          </w:r>
        </w:p>
      </w:tc>
      <w:tc>
        <w:tcPr>
          <w:tcW w:w="2803" w:type="dxa"/>
          <w:tcBorders/>
          <w:shd w:color="auto" w:fill="000000" w:val="clear"/>
        </w:tcPr>
        <w:p>
          <w:pPr>
            <w:pStyle w:val="Style27"/>
            <w:widowControl w:val="false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  <w:r>
            <w:rPr>
              <w:caps/>
              <w:sz w:val="18"/>
            </w:rPr>
          </w:r>
        </w:p>
      </w:tc>
    </w:tr>
    <w:tr>
      <w:trPr>
        <w:trHeight w:val="59" w:hRule="atLeast"/>
      </w:trPr>
      <w:tc>
        <w:tcPr>
          <w:tcW w:w="7264" w:type="dxa"/>
          <w:tcBorders/>
          <w:shd w:color="auto" w:fill="FFFFFF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cs="Times New Roman"/>
              <w:b/>
              <w:szCs w:val="28"/>
            </w:rPr>
          </w:pPr>
          <w:r>
            <w:rPr>
              <w:rFonts w:eastAsia="Calibri"/>
              <w:sz w:val="18"/>
              <w:szCs w:val="18"/>
            </w:rPr>
            <w:t>Региональный этап по компетенции      (Обогащение полезных ископаемых)</w:t>
          </w:r>
        </w:p>
      </w:tc>
      <w:tc>
        <w:tcPr>
          <w:tcW w:w="2803" w:type="dxa"/>
          <w:tcBorders/>
          <w:shd w:color="auto" w:fill="FFFFFF" w:val="clear"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jc w:val="right"/>
            <w:rPr/>
          </w:pPr>
          <w:r>
            <w:rPr>
              <w:caps/>
              <w:sz w:val="18"/>
              <w:szCs w:val="18"/>
            </w:rPr>
            <w:t>6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68" w:type="dxa"/>
      <w:jc w:val="left"/>
      <w:tblInd w:w="115" w:type="dxa"/>
      <w:tblLayout w:type="fixed"/>
      <w:tblCellMar>
        <w:top w:w="0" w:type="dxa"/>
        <w:left w:w="115" w:type="dxa"/>
        <w:bottom w:w="0" w:type="dxa"/>
        <w:right w:w="115" w:type="dxa"/>
      </w:tblCellMar>
      <w:tblLook w:noVBand="0" w:val="0000" w:noHBand="0" w:lastColumn="0" w:firstColumn="0" w:lastRow="0" w:firstRow="0"/>
    </w:tblPr>
    <w:tblGrid>
      <w:gridCol w:w="7264"/>
      <w:gridCol w:w="2803"/>
    </w:tblGrid>
    <w:tr>
      <w:trPr>
        <w:trHeight w:val="115" w:hRule="exact"/>
      </w:trPr>
      <w:tc>
        <w:tcPr>
          <w:tcW w:w="7264" w:type="dxa"/>
          <w:tcBorders/>
          <w:shd w:color="auto" w:fill="81D41A" w:val="clear"/>
        </w:tcPr>
        <w:p>
          <w:pPr>
            <w:pStyle w:val="Style27"/>
            <w:widowControl w:val="false"/>
            <w:tabs>
              <w:tab w:val="clear" w:pos="4677"/>
              <w:tab w:val="clear" w:pos="9355"/>
            </w:tabs>
            <w:rPr/>
          </w:pPr>
          <w:r>
            <w:rPr>
              <w:caps/>
              <w:sz w:val="18"/>
            </w:rPr>
            <w:tab/>
          </w:r>
        </w:p>
      </w:tc>
      <w:tc>
        <w:tcPr>
          <w:tcW w:w="2803" w:type="dxa"/>
          <w:tcBorders/>
          <w:shd w:color="auto" w:fill="000000" w:val="clear"/>
        </w:tcPr>
        <w:p>
          <w:pPr>
            <w:pStyle w:val="Style27"/>
            <w:widowControl w:val="false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  <w:r>
            <w:rPr>
              <w:caps/>
              <w:sz w:val="18"/>
            </w:rPr>
          </w:r>
        </w:p>
      </w:tc>
    </w:tr>
    <w:tr>
      <w:trPr>
        <w:trHeight w:val="59" w:hRule="atLeast"/>
      </w:trPr>
      <w:tc>
        <w:tcPr>
          <w:tcW w:w="7264" w:type="dxa"/>
          <w:tcBorders/>
          <w:shd w:color="auto" w:fill="FFFFFF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cs="Times New Roman"/>
              <w:b/>
              <w:szCs w:val="28"/>
            </w:rPr>
          </w:pPr>
          <w:r>
            <w:rPr>
              <w:rFonts w:eastAsia="Calibri"/>
              <w:sz w:val="18"/>
              <w:szCs w:val="18"/>
            </w:rPr>
            <w:t>Региональный этап по компетенции      (Обогащение полезных ископаемых)</w:t>
          </w:r>
        </w:p>
      </w:tc>
      <w:tc>
        <w:tcPr>
          <w:tcW w:w="2803" w:type="dxa"/>
          <w:tcBorders/>
          <w:shd w:color="auto" w:fill="FFFFFF" w:val="clear"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jc w:val="right"/>
            <w:rPr/>
          </w:pPr>
          <w:r>
            <w:rPr>
              <w:caps/>
              <w:sz w:val="18"/>
              <w:szCs w:val="18"/>
            </w:rPr>
            <w:t>6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right"/>
      <w:rPr/>
    </w:pPr>
    <w:r>
      <w:rPr/>
      <w:drawing>
        <wp:inline distT="0" distB="0" distL="0" distR="0">
          <wp:extent cx="2188210" cy="852170"/>
          <wp:effectExtent l="0" t="0" r="0" b="0"/>
          <wp:docPr id="4" name="Изображение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right"/>
      <w:rPr/>
    </w:pPr>
    <w:r>
      <w:rPr/>
      <w:drawing>
        <wp:inline distT="0" distB="0" distL="0" distR="0">
          <wp:extent cx="2188210" cy="852170"/>
          <wp:effectExtent l="0" t="0" r="0" b="0"/>
          <wp:docPr id="6" name="Изображение23 Копия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Изображение23 Копия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right"/>
      <w:rPr/>
    </w:pPr>
    <w:r>
      <w:rPr/>
      <w:drawing>
        <wp:inline distT="0" distB="0" distL="0" distR="0">
          <wp:extent cx="2188210" cy="852170"/>
          <wp:effectExtent l="0" t="0" r="0" b="0"/>
          <wp:docPr id="7" name="Изображение2 Копия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 Копия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419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1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1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1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1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1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1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1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1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-" w:customStyle="1">
    <w:name w:val="Hyperlink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1">
    <w:name w:val="Символ сноски"/>
    <w:qFormat/>
    <w:rsid w:val="00de39d8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Style3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Style3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Style35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Style36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5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6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3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5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9">
    <w:name w:val="Footnote Text"/>
    <w:basedOn w:val="Normal"/>
    <w:link w:val="Style10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0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31" w:customStyle="1">
    <w:name w:val="выделение цвет"/>
    <w:basedOn w:val="Normal"/>
    <w:link w:val="Style16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Style32">
    <w:name w:val="Index Heading"/>
    <w:basedOn w:val="Style21"/>
    <w:pPr/>
    <w:rPr/>
  </w:style>
  <w:style w:type="paragraph" w:styleId="Style33">
    <w:name w:val="TOC Heading"/>
    <w:basedOn w:val="1"/>
    <w:next w:val="Normal"/>
    <w:uiPriority w:val="39"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5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2"/>
    <w:link w:val="-2"/>
    <w:qFormat/>
    <w:rsid w:val="00de39d8"/>
    <w:pPr/>
    <w:rPr>
      <w:lang w:val="ru-RU"/>
    </w:rPr>
  </w:style>
  <w:style w:type="paragraph" w:styleId="Style34" w:customStyle="1">
    <w:name w:val="!Текст"/>
    <w:basedOn w:val="Normal"/>
    <w:link w:val="Style15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5" w:customStyle="1">
    <w:name w:val="!Синий заголовок текста"/>
    <w:basedOn w:val="Style31"/>
    <w:link w:val="Style17"/>
    <w:qFormat/>
    <w:rsid w:val="00de39d8"/>
    <w:pPr/>
    <w:rPr/>
  </w:style>
  <w:style w:type="paragraph" w:styleId="Style36" w:customStyle="1">
    <w:name w:val="!Список с точками"/>
    <w:basedOn w:val="Normal"/>
    <w:link w:val="Style18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Style19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0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2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26" w:customStyle="1">
    <w:name w:val="Абзац списка2"/>
    <w:basedOn w:val="Normal"/>
    <w:qFormat/>
    <w:rsid w:val="00447917"/>
    <w:pPr>
      <w:widowControl w:val="false"/>
      <w:suppressAutoHyphens w:val="true"/>
      <w:spacing w:lineRule="auto" w:line="276" w:before="0" w:after="200"/>
      <w:ind w:left="720" w:hanging="0"/>
      <w:contextualSpacing/>
    </w:pPr>
    <w:rPr>
      <w:rFonts w:ascii="Liberation Serif" w:hAnsi="Liberation Serif" w:eastAsia="Calibri" w:cs="Lohit Hindi"/>
      <w:kern w:val="2"/>
      <w:sz w:val="24"/>
      <w:szCs w:val="24"/>
      <w:lang w:bidi="hi-IN"/>
    </w:rPr>
  </w:style>
  <w:style w:type="paragraph" w:styleId="Style37" w:customStyle="1">
    <w:name w:val="Содержимое таблицы"/>
    <w:basedOn w:val="Normal"/>
    <w:qFormat/>
    <w:rsid w:val="00884df5"/>
    <w:pPr>
      <w:widowControl w:val="false"/>
      <w:suppressLineNumbers/>
      <w:suppressAutoHyphens w:val="true"/>
      <w:spacing w:lineRule="auto" w:line="276" w:before="0" w:after="200"/>
    </w:pPr>
    <w:rPr>
      <w:rFonts w:ascii="Liberation Serif" w:hAnsi="Liberation Serif" w:eastAsia="Times New Roman" w:cs="Lohit Hind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3"/>
    <w:rsid w:val="0082541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"/>
    <w:basedOn w:val="a3"/>
    <w:rsid w:val="0082541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3"/>
    <w:basedOn w:val="a3"/>
    <w:rsid w:val="0080190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3"/>
    <w:uiPriority w:val="59"/>
    <w:rsid w:val="00801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Сетка таблицы12"/>
    <w:basedOn w:val="a3"/>
    <w:uiPriority w:val="59"/>
    <w:rsid w:val="00b164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4.png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29C6-ADD9-4EE4-A7C1-610FE54C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LibreOffice/7.5.2.1$Linux_X86_64 LibreOffice_project/50$Build-1</Application>
  <AppVersion>15.0000</AppVersion>
  <Pages>7</Pages>
  <Words>418</Words>
  <Characters>2599</Characters>
  <CharactersWithSpaces>3073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2023-10-10T08:10:00Z</dcterms:created>
  <dc:creator>Copyright ©«Ворлдскиллс Россия» (Экспедирование грузов)</dc:creator>
  <dc:description/>
  <dc:language>ru-RU</dc:language>
  <cp:lastModifiedBy/>
  <cp:lastPrinted>2024-11-11T03:41:00Z</cp:lastPrinted>
  <dcterms:modified xsi:type="dcterms:W3CDTF">2025-02-04T10:26:08Z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